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BED25" w14:textId="77777777" w:rsidR="00000000" w:rsidRDefault="00000000">
      <w:pPr>
        <w:adjustRightInd/>
        <w:spacing w:line="588" w:lineRule="exact"/>
        <w:jc w:val="center"/>
        <w:rPr>
          <w:rFonts w:ascii="ＭＳ 明朝" w:cs="Times New Roman"/>
        </w:rPr>
      </w:pPr>
      <w:r>
        <w:rPr>
          <w:rFonts w:ascii="ＭＳ 明朝" w:hint="eastAsia"/>
          <w:sz w:val="32"/>
          <w:szCs w:val="32"/>
        </w:rPr>
        <w:t>別</w:t>
      </w:r>
      <w:r>
        <w:rPr>
          <w:rFonts w:ascii="ＭＳ 明朝" w:hAnsi="ＭＳ 明朝"/>
          <w:sz w:val="32"/>
          <w:szCs w:val="32"/>
        </w:rPr>
        <w:t xml:space="preserve"> </w:t>
      </w:r>
      <w:r>
        <w:rPr>
          <w:rFonts w:ascii="ＭＳ 明朝" w:hint="eastAsia"/>
          <w:sz w:val="32"/>
          <w:szCs w:val="32"/>
        </w:rPr>
        <w:t>紙</w:t>
      </w:r>
      <w:r>
        <w:rPr>
          <w:rFonts w:ascii="ＭＳ 明朝" w:hAnsi="ＭＳ 明朝"/>
          <w:sz w:val="32"/>
          <w:szCs w:val="32"/>
        </w:rPr>
        <w:t xml:space="preserve"> </w:t>
      </w:r>
      <w:r>
        <w:rPr>
          <w:rFonts w:ascii="ＭＳ 明朝" w:hint="eastAsia"/>
          <w:sz w:val="32"/>
          <w:szCs w:val="32"/>
        </w:rPr>
        <w:t>一</w:t>
      </w:r>
      <w:r>
        <w:rPr>
          <w:rFonts w:ascii="ＭＳ 明朝" w:hAnsi="ＭＳ 明朝"/>
          <w:sz w:val="32"/>
          <w:szCs w:val="32"/>
        </w:rPr>
        <w:t xml:space="preserve"> </w:t>
      </w:r>
      <w:r>
        <w:rPr>
          <w:rFonts w:ascii="ＭＳ 明朝" w:hint="eastAsia"/>
          <w:sz w:val="32"/>
          <w:szCs w:val="32"/>
        </w:rPr>
        <w:t>覧</w:t>
      </w:r>
    </w:p>
    <w:p w14:paraId="76359069" w14:textId="77777777" w:rsidR="00000000" w:rsidRDefault="00000000">
      <w:pPr>
        <w:adjustRightInd/>
        <w:rPr>
          <w:rFonts w:ascii="ＭＳ 明朝" w:cs="Times New Roman"/>
        </w:rPr>
      </w:pPr>
    </w:p>
    <w:p w14:paraId="7FF2029A" w14:textId="77777777" w:rsidR="00000000" w:rsidRDefault="00000000">
      <w:pPr>
        <w:adjustRightInd/>
        <w:ind w:left="120"/>
        <w:rPr>
          <w:rFonts w:ascii="ＭＳ 明朝" w:cs="Times New Roman"/>
        </w:rPr>
      </w:pPr>
      <w:r>
        <w:rPr>
          <w:rFonts w:ascii="ＭＳ 明朝" w:hint="eastAsia"/>
        </w:rPr>
        <w:t>別紙１－１　　標準的運用における集会・期日等の流れ</w:t>
      </w:r>
    </w:p>
    <w:p w14:paraId="025AD4E5" w14:textId="77777777" w:rsidR="00000000" w:rsidRDefault="00000000">
      <w:pPr>
        <w:adjustRightInd/>
        <w:spacing w:line="528" w:lineRule="exact"/>
        <w:ind w:left="120"/>
        <w:rPr>
          <w:rFonts w:ascii="ＭＳ 明朝" w:cs="Times New Roman"/>
        </w:rPr>
      </w:pPr>
      <w:r>
        <w:rPr>
          <w:rFonts w:ascii="ＭＳ 明朝" w:hint="eastAsia"/>
        </w:rPr>
        <w:t xml:space="preserve">別紙１－２　　</w:t>
      </w:r>
      <w:r>
        <w:rPr>
          <w:rFonts w:ascii="ＭＳ 明朝" w:hint="eastAsia"/>
          <w:sz w:val="26"/>
          <w:szCs w:val="26"/>
        </w:rPr>
        <w:t>債権調査・配当に関する標準的運用の流れ</w:t>
      </w:r>
    </w:p>
    <w:p w14:paraId="71A60DE9" w14:textId="77777777" w:rsidR="00000000" w:rsidRDefault="00000000">
      <w:pPr>
        <w:adjustRightInd/>
        <w:spacing w:line="508" w:lineRule="exact"/>
        <w:ind w:left="120"/>
        <w:rPr>
          <w:rFonts w:ascii="ＭＳ 明朝" w:cs="Times New Roman"/>
        </w:rPr>
      </w:pPr>
      <w:r>
        <w:rPr>
          <w:rFonts w:ascii="ＭＳ 明朝" w:hint="eastAsia"/>
        </w:rPr>
        <w:t>別紙２－１　　管財事件標準スケジュール（法人事案）</w:t>
      </w:r>
    </w:p>
    <w:p w14:paraId="0A7090BF" w14:textId="77777777" w:rsidR="00000000" w:rsidRDefault="00000000">
      <w:pPr>
        <w:adjustRightInd/>
        <w:spacing w:line="508" w:lineRule="exact"/>
        <w:ind w:left="120"/>
        <w:rPr>
          <w:rFonts w:ascii="ＭＳ 明朝" w:cs="Times New Roman"/>
        </w:rPr>
      </w:pPr>
      <w:r>
        <w:rPr>
          <w:rFonts w:ascii="ＭＳ 明朝" w:hint="eastAsia"/>
        </w:rPr>
        <w:t>別紙２－２　　管財事件標準スケジュール（個人事案）</w:t>
      </w:r>
    </w:p>
    <w:p w14:paraId="1B6DA590" w14:textId="77777777" w:rsidR="00000000" w:rsidRDefault="00000000">
      <w:pPr>
        <w:adjustRightInd/>
        <w:ind w:left="120"/>
        <w:rPr>
          <w:rFonts w:ascii="ＭＳ 明朝" w:cs="Times New Roman"/>
        </w:rPr>
      </w:pPr>
      <w:r>
        <w:rPr>
          <w:rFonts w:ascii="ＭＳ 明朝" w:hint="eastAsia"/>
        </w:rPr>
        <w:t xml:space="preserve">別紙３　　</w:t>
      </w:r>
      <w:r>
        <w:rPr>
          <w:rFonts w:ascii="ＭＳ 明朝" w:hAnsi="ＭＳ 明朝"/>
        </w:rPr>
        <w:t xml:space="preserve">  </w:t>
      </w:r>
      <w:r>
        <w:rPr>
          <w:rFonts w:ascii="ＭＳ 明朝" w:hint="eastAsia"/>
        </w:rPr>
        <w:t xml:space="preserve">　予納金等基準額一覧表</w:t>
      </w:r>
    </w:p>
    <w:p w14:paraId="5875454D" w14:textId="77777777" w:rsidR="00000000" w:rsidRDefault="00000000">
      <w:pPr>
        <w:adjustRightInd/>
        <w:ind w:left="120"/>
        <w:rPr>
          <w:rFonts w:ascii="ＭＳ 明朝" w:cs="Times New Roman"/>
        </w:rPr>
      </w:pPr>
      <w:r>
        <w:rPr>
          <w:rFonts w:ascii="ＭＳ 明朝" w:hint="eastAsia"/>
        </w:rPr>
        <w:t>別紙４－１　　開始決定までの標準スケジュール（債務者審尋期日同席）</w:t>
      </w:r>
    </w:p>
    <w:p w14:paraId="25F07976" w14:textId="77777777" w:rsidR="00000000" w:rsidRDefault="00000000">
      <w:pPr>
        <w:adjustRightInd/>
        <w:ind w:left="120"/>
        <w:rPr>
          <w:rFonts w:ascii="ＭＳ 明朝" w:cs="Times New Roman"/>
        </w:rPr>
      </w:pPr>
      <w:r>
        <w:rPr>
          <w:rFonts w:ascii="ＭＳ 明朝" w:hint="eastAsia"/>
        </w:rPr>
        <w:t>別紙４－２　　開始決定までの標準スケジュール（開始決定前後裁判官面談）</w:t>
      </w:r>
    </w:p>
    <w:p w14:paraId="15705938" w14:textId="77777777" w:rsidR="00000000" w:rsidRDefault="00000000">
      <w:pPr>
        <w:adjustRightInd/>
        <w:ind w:left="120"/>
        <w:rPr>
          <w:rFonts w:ascii="ＭＳ 明朝" w:cs="Times New Roman"/>
        </w:rPr>
      </w:pPr>
      <w:r>
        <w:rPr>
          <w:rFonts w:ascii="ＭＳ 明朝" w:hint="eastAsia"/>
        </w:rPr>
        <w:t>別紙５　　　　破産手続における債務者財産の換価基準</w:t>
      </w:r>
    </w:p>
    <w:p w14:paraId="121B7969" w14:textId="77777777" w:rsidR="00000000" w:rsidRDefault="00000000">
      <w:pPr>
        <w:adjustRightInd/>
        <w:spacing w:line="508" w:lineRule="exact"/>
        <w:ind w:left="120"/>
        <w:rPr>
          <w:rFonts w:ascii="ＭＳ 明朝" w:cs="Times New Roman"/>
        </w:rPr>
      </w:pPr>
      <w:r>
        <w:rPr>
          <w:rFonts w:ascii="ＭＳ 明朝" w:hint="eastAsia"/>
        </w:rPr>
        <w:t>別紙６　　　　裁判所の許可要否の基準</w:t>
      </w:r>
    </w:p>
    <w:p w14:paraId="430D703C" w14:textId="77777777" w:rsidR="00000000" w:rsidRDefault="00000000">
      <w:pPr>
        <w:adjustRightInd/>
        <w:ind w:left="120"/>
        <w:rPr>
          <w:rFonts w:ascii="ＭＳ 明朝" w:cs="Times New Roman"/>
        </w:rPr>
      </w:pPr>
      <w:r>
        <w:rPr>
          <w:rFonts w:ascii="ＭＳ 明朝" w:hint="eastAsia"/>
        </w:rPr>
        <w:t>別紙７　　　　財団債権の種類一覧表</w:t>
      </w:r>
    </w:p>
    <w:p w14:paraId="75978563" w14:textId="77777777" w:rsidR="00000000" w:rsidRDefault="00000000">
      <w:pPr>
        <w:adjustRightInd/>
        <w:ind w:left="120"/>
        <w:rPr>
          <w:rFonts w:ascii="ＭＳ 明朝" w:cs="Times New Roman"/>
        </w:rPr>
      </w:pPr>
      <w:r>
        <w:rPr>
          <w:rFonts w:ascii="ＭＳ 明朝" w:hint="eastAsia"/>
        </w:rPr>
        <w:t>別紙８　　　　財団債権相互間の優先順位</w:t>
      </w:r>
    </w:p>
    <w:p w14:paraId="50E50DC4" w14:textId="77777777" w:rsidR="00000000" w:rsidRDefault="00000000">
      <w:pPr>
        <w:adjustRightInd/>
        <w:ind w:left="120"/>
        <w:rPr>
          <w:rFonts w:ascii="ＭＳ 明朝" w:cs="Times New Roman"/>
        </w:rPr>
      </w:pPr>
      <w:r>
        <w:rPr>
          <w:rFonts w:ascii="ＭＳ 明朝" w:hint="eastAsia"/>
        </w:rPr>
        <w:t>別紙９　　　　租税等の請求権の優先関係</w:t>
      </w:r>
    </w:p>
    <w:p w14:paraId="7E4DFA22" w14:textId="77777777" w:rsidR="00000000" w:rsidRDefault="00000000">
      <w:pPr>
        <w:adjustRightInd/>
        <w:ind w:left="120"/>
        <w:rPr>
          <w:rFonts w:ascii="ＭＳ 明朝" w:cs="Times New Roman"/>
        </w:rPr>
      </w:pPr>
      <w:r>
        <w:rPr>
          <w:rFonts w:ascii="ＭＳ 明朝" w:hint="eastAsia"/>
        </w:rPr>
        <w:t>別紙１０</w:t>
      </w:r>
      <w:r>
        <w:rPr>
          <w:rFonts w:ascii="ＭＳ 明朝" w:hAnsi="ＭＳ 明朝"/>
        </w:rPr>
        <w:t xml:space="preserve">  </w:t>
      </w:r>
      <w:r>
        <w:rPr>
          <w:rFonts w:ascii="ＭＳ 明朝" w:hint="eastAsia"/>
        </w:rPr>
        <w:t xml:space="preserve">　　未払給料の日割計算例</w:t>
      </w:r>
    </w:p>
    <w:p w14:paraId="1081D3B4" w14:textId="77777777" w:rsidR="00000000" w:rsidRDefault="00000000">
      <w:pPr>
        <w:adjustRightInd/>
        <w:spacing w:line="508" w:lineRule="exact"/>
        <w:ind w:left="120"/>
        <w:rPr>
          <w:rFonts w:ascii="ＭＳ 明朝" w:cs="Times New Roman"/>
        </w:rPr>
      </w:pPr>
      <w:r>
        <w:rPr>
          <w:rFonts w:ascii="ＭＳ 明朝" w:hint="eastAsia"/>
        </w:rPr>
        <w:t>別紙１１　　　財産状況報告集会までの標準的スケジュール</w:t>
      </w:r>
    </w:p>
    <w:p w14:paraId="5FA362DA" w14:textId="77777777" w:rsidR="00000000" w:rsidRDefault="00000000">
      <w:pPr>
        <w:adjustRightInd/>
        <w:spacing w:line="508" w:lineRule="exact"/>
        <w:ind w:left="120"/>
        <w:rPr>
          <w:rFonts w:ascii="ＭＳ 明朝" w:cs="Times New Roman"/>
        </w:rPr>
      </w:pPr>
      <w:r>
        <w:rPr>
          <w:rFonts w:ascii="ＭＳ 明朝" w:hint="eastAsia"/>
        </w:rPr>
        <w:t>別紙１２　　　財産状況報告集会等の具体的進行例</w:t>
      </w:r>
    </w:p>
    <w:p w14:paraId="1A142375" w14:textId="77777777" w:rsidR="00000000" w:rsidRDefault="00000000">
      <w:pPr>
        <w:adjustRightInd/>
        <w:spacing w:line="508" w:lineRule="exact"/>
        <w:ind w:left="120"/>
        <w:rPr>
          <w:rFonts w:ascii="ＭＳ 明朝" w:cs="Times New Roman"/>
        </w:rPr>
      </w:pPr>
      <w:r>
        <w:rPr>
          <w:rFonts w:ascii="ＭＳ 明朝" w:hint="eastAsia"/>
        </w:rPr>
        <w:t>別紙１３　　　配当率及び配当金額の計算根拠メモ</w:t>
      </w:r>
    </w:p>
    <w:p w14:paraId="11A10650" w14:textId="77777777" w:rsidR="00000000" w:rsidRDefault="00000000">
      <w:pPr>
        <w:adjustRightInd/>
        <w:spacing w:line="528" w:lineRule="exact"/>
        <w:ind w:left="120"/>
        <w:rPr>
          <w:rFonts w:ascii="ＭＳ 明朝" w:cs="Times New Roman"/>
        </w:rPr>
      </w:pPr>
      <w:r>
        <w:rPr>
          <w:rFonts w:ascii="ＭＳ 明朝" w:hint="eastAsia"/>
        </w:rPr>
        <w:t xml:space="preserve">別紙１４　　　</w:t>
      </w:r>
      <w:r>
        <w:rPr>
          <w:rFonts w:ascii="ＭＳ 明朝" w:hint="eastAsia"/>
          <w:sz w:val="26"/>
          <w:szCs w:val="26"/>
        </w:rPr>
        <w:t>簡易配当手続の概略</w:t>
      </w:r>
    </w:p>
    <w:p w14:paraId="697BF77D" w14:textId="77777777" w:rsidR="00000000" w:rsidRDefault="00000000">
      <w:pPr>
        <w:adjustRightInd/>
        <w:spacing w:line="508" w:lineRule="exact"/>
        <w:ind w:left="120"/>
        <w:rPr>
          <w:rFonts w:ascii="ＭＳ 明朝" w:cs="Times New Roman"/>
        </w:rPr>
      </w:pPr>
      <w:r>
        <w:rPr>
          <w:rFonts w:ascii="ＭＳ 明朝" w:hint="eastAsia"/>
        </w:rPr>
        <w:t>別紙１５</w:t>
      </w:r>
      <w:r>
        <w:rPr>
          <w:rFonts w:ascii="ＭＳ 明朝" w:hAnsi="ＭＳ 明朝"/>
        </w:rPr>
        <w:t xml:space="preserve">    </w:t>
      </w:r>
      <w:r>
        <w:rPr>
          <w:rFonts w:ascii="ＭＳ 明朝" w:hint="eastAsia"/>
        </w:rPr>
        <w:t xml:space="preserve">　簡易配当（少額型）の事務手続の流れ</w:t>
      </w:r>
    </w:p>
    <w:p w14:paraId="53D25ABD" w14:textId="77777777" w:rsidR="00000000" w:rsidRDefault="00000000">
      <w:pPr>
        <w:adjustRightInd/>
        <w:spacing w:line="528" w:lineRule="exact"/>
        <w:ind w:left="120"/>
        <w:rPr>
          <w:rFonts w:ascii="ＭＳ 明朝" w:cs="Times New Roman"/>
        </w:rPr>
      </w:pPr>
      <w:r>
        <w:rPr>
          <w:rFonts w:ascii="ＭＳ 明朝" w:hint="eastAsia"/>
        </w:rPr>
        <w:t xml:space="preserve">別紙１６－１　</w:t>
      </w:r>
      <w:r>
        <w:rPr>
          <w:rFonts w:ascii="ＭＳ 明朝" w:hint="eastAsia"/>
          <w:sz w:val="26"/>
          <w:szCs w:val="26"/>
        </w:rPr>
        <w:t>最後配当手続の概略</w:t>
      </w:r>
      <w:r>
        <w:rPr>
          <w:rFonts w:ascii="ＭＳ 明朝" w:hint="eastAsia"/>
        </w:rPr>
        <w:t xml:space="preserve">　　　</w:t>
      </w:r>
    </w:p>
    <w:p w14:paraId="47EFE6D1" w14:textId="77777777" w:rsidR="00000000" w:rsidRDefault="00000000">
      <w:pPr>
        <w:adjustRightInd/>
        <w:spacing w:line="508" w:lineRule="exact"/>
        <w:ind w:left="120"/>
        <w:rPr>
          <w:rFonts w:ascii="ＭＳ 明朝" w:cs="Times New Roman"/>
        </w:rPr>
      </w:pPr>
      <w:r>
        <w:rPr>
          <w:rFonts w:ascii="ＭＳ 明朝" w:hint="eastAsia"/>
        </w:rPr>
        <w:t>別紙１６－２　最後配当手続の実際（官報公告型）</w:t>
      </w:r>
    </w:p>
    <w:p w14:paraId="5976B7D1" w14:textId="77777777" w:rsidR="00000000" w:rsidRDefault="00000000">
      <w:pPr>
        <w:adjustRightInd/>
        <w:spacing w:line="508" w:lineRule="exact"/>
        <w:ind w:left="120"/>
        <w:rPr>
          <w:rFonts w:ascii="ＭＳ 明朝" w:cs="Times New Roman"/>
        </w:rPr>
      </w:pPr>
      <w:r>
        <w:rPr>
          <w:rFonts w:ascii="ＭＳ 明朝" w:hint="eastAsia"/>
        </w:rPr>
        <w:t>別紙１６－３</w:t>
      </w:r>
      <w:r>
        <w:rPr>
          <w:rFonts w:ascii="ＭＳ 明朝" w:hAnsi="ＭＳ 明朝"/>
        </w:rPr>
        <w:t xml:space="preserve">  </w:t>
      </w:r>
      <w:r>
        <w:rPr>
          <w:rFonts w:ascii="ＭＳ 明朝" w:hint="eastAsia"/>
        </w:rPr>
        <w:t>最後配当手続の実際（通知型）</w:t>
      </w:r>
    </w:p>
    <w:p w14:paraId="3A76A93D" w14:textId="77777777" w:rsidR="00000000" w:rsidRDefault="00000000">
      <w:pPr>
        <w:adjustRightInd/>
        <w:spacing w:line="508" w:lineRule="exact"/>
        <w:ind w:left="120"/>
        <w:rPr>
          <w:rFonts w:ascii="ＭＳ 明朝" w:cs="Times New Roman"/>
        </w:rPr>
      </w:pPr>
      <w:r>
        <w:rPr>
          <w:rFonts w:ascii="ＭＳ 明朝" w:hint="eastAsia"/>
        </w:rPr>
        <w:t>別紙１７　　　最後配当の事務手続の流れ</w:t>
      </w:r>
    </w:p>
    <w:p w14:paraId="75475A9B" w14:textId="77777777" w:rsidR="00E00D39" w:rsidRDefault="00000000">
      <w:pPr>
        <w:adjustRightInd/>
        <w:spacing w:line="508" w:lineRule="exact"/>
        <w:ind w:left="120"/>
        <w:rPr>
          <w:rFonts w:ascii="ＭＳ 明朝" w:cs="Times New Roman"/>
        </w:rPr>
      </w:pPr>
      <w:r>
        <w:rPr>
          <w:rFonts w:ascii="ＭＳ 明朝" w:hint="eastAsia"/>
        </w:rPr>
        <w:t>別紙１８　　　同意配当手続（２０８条）の実際</w:t>
      </w:r>
    </w:p>
    <w:sectPr w:rsidR="00E00D39">
      <w:type w:val="continuous"/>
      <w:pgSz w:w="11906" w:h="16838"/>
      <w:pgMar w:top="1700" w:right="1304" w:bottom="1418" w:left="1700" w:header="720" w:footer="720" w:gutter="0"/>
      <w:pgNumType w:start="1"/>
      <w:cols w:space="720"/>
      <w:noEndnote/>
      <w:docGrid w:type="linesAndChars" w:linePitch="5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0463D" w14:textId="77777777" w:rsidR="00E00D39" w:rsidRDefault="00E00D39">
      <w:r>
        <w:separator/>
      </w:r>
    </w:p>
  </w:endnote>
  <w:endnote w:type="continuationSeparator" w:id="0">
    <w:p w14:paraId="62B14183" w14:textId="77777777" w:rsidR="00E00D39" w:rsidRDefault="00E00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DA1E9" w14:textId="77777777" w:rsidR="00E00D39" w:rsidRDefault="00E00D3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A6F637F" w14:textId="77777777" w:rsidR="00E00D39" w:rsidRDefault="00E00D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962"/>
  <w:hyphenationZone w:val="0"/>
  <w:drawingGridHorizontalSpacing w:val="1"/>
  <w:drawingGridVerticalSpacing w:val="507"/>
  <w:displayHorizontalDrawingGridEvery w:val="0"/>
  <w:doNotUseMarginsForDrawingGridOrigin/>
  <w:doNotShadeFormData/>
  <w:characterSpacingControl w:val="doNotCompress"/>
  <w:noLineBreaksAfter w:lang="ja-JP" w:val="([{〈《『【〔［｛｢"/>
  <w:noLineBreaksBefore w:lang="ja-JP" w:val="!,.?]}、。〉》』】〕！，．？］｝｡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032"/>
    <w:rsid w:val="00C27032"/>
    <w:rsid w:val="00E00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5916CB"/>
  <w14:defaultImageDpi w14:val="0"/>
  <w15:docId w15:val="{621131E3-FEBD-4F4C-BAC6-D059FF8A5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0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7032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C270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7032"/>
    <w:rPr>
      <w:rFonts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響</dc:creator>
  <cp:keywords/>
  <dc:description/>
  <cp:lastModifiedBy>響</cp:lastModifiedBy>
  <cp:revision>2</cp:revision>
  <dcterms:created xsi:type="dcterms:W3CDTF">2022-10-14T04:07:00Z</dcterms:created>
  <dcterms:modified xsi:type="dcterms:W3CDTF">2022-10-14T04:07:00Z</dcterms:modified>
</cp:coreProperties>
</file>